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47" w:rsidRDefault="00842209">
      <w:pPr>
        <w:spacing w:line="360" w:lineRule="auto"/>
        <w:jc w:val="both"/>
        <w:rPr>
          <w:rFonts w:ascii="Garamond" w:eastAsia="Garamond" w:hAnsi="Garamond" w:cs="Garamond"/>
          <w:b/>
        </w:rPr>
      </w:pPr>
      <w:bookmarkStart w:id="0" w:name="_GoBack"/>
      <w:bookmarkEnd w:id="0"/>
      <w:r>
        <w:rPr>
          <w:rFonts w:ascii="Garamond" w:eastAsia="Garamond" w:hAnsi="Garamond" w:cs="Garamond"/>
          <w:b/>
        </w:rPr>
        <w:t>De: Assessoria Técnica e Jurídica: Rosimeire Cássia Cascardo Werneck – Consultor Jurídico</w:t>
      </w:r>
    </w:p>
    <w:p w:rsidR="009C3D47" w:rsidRDefault="00842209">
      <w:pPr>
        <w:spacing w:line="36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Para: </w:t>
      </w:r>
      <w:proofErr w:type="gramStart"/>
      <w:r>
        <w:rPr>
          <w:rFonts w:ascii="Garamond" w:eastAsia="Garamond" w:hAnsi="Garamond" w:cs="Garamond"/>
          <w:b/>
        </w:rPr>
        <w:t>Sr.</w:t>
      </w:r>
      <w:proofErr w:type="gramEnd"/>
      <w:r>
        <w:rPr>
          <w:rFonts w:ascii="Garamond" w:eastAsia="Garamond" w:hAnsi="Garamond" w:cs="Garamond"/>
          <w:b/>
        </w:rPr>
        <w:t xml:space="preserve"> Vereador (a) __________________ – Relator(a) do Projeto de Lei 52/2025, que altera a Lei nº 1.997, de 13 de março de 1996, que “Dispõe sobre a reorganização das carreiras funcionais dos servidores públicos da Prefeitura de Foz do Iguaçu, revoga as Leis nº 1581/91, 1582/91, 1793/93 e 1868/94, e dá outras providências”.</w:t>
      </w:r>
    </w:p>
    <w:p w:rsidR="009C3D47" w:rsidRDefault="009C3D47">
      <w:pPr>
        <w:spacing w:line="360" w:lineRule="auto"/>
        <w:jc w:val="both"/>
        <w:rPr>
          <w:rFonts w:ascii="Garamond" w:eastAsia="Garamond" w:hAnsi="Garamond" w:cs="Garamond"/>
          <w:b/>
        </w:rPr>
      </w:pPr>
    </w:p>
    <w:p w:rsidR="009C3D47" w:rsidRDefault="009C3D47">
      <w:pPr>
        <w:tabs>
          <w:tab w:val="center" w:pos="1980"/>
        </w:tabs>
        <w:spacing w:line="360" w:lineRule="auto"/>
        <w:jc w:val="center"/>
        <w:rPr>
          <w:rFonts w:ascii="Garamond" w:eastAsia="Garamond" w:hAnsi="Garamond" w:cs="Garamond"/>
          <w:b/>
        </w:rPr>
      </w:pPr>
    </w:p>
    <w:p w:rsidR="009C3D47" w:rsidRDefault="009C3D47">
      <w:pPr>
        <w:tabs>
          <w:tab w:val="center" w:pos="1980"/>
        </w:tabs>
        <w:spacing w:line="360" w:lineRule="auto"/>
        <w:jc w:val="center"/>
        <w:rPr>
          <w:rFonts w:ascii="Garamond" w:eastAsia="Garamond" w:hAnsi="Garamond" w:cs="Garamond"/>
          <w:b/>
        </w:rPr>
      </w:pPr>
    </w:p>
    <w:p w:rsidR="009C3D47" w:rsidRDefault="00842209">
      <w:pPr>
        <w:tabs>
          <w:tab w:val="center" w:pos="1980"/>
        </w:tabs>
        <w:spacing w:line="360" w:lineRule="auto"/>
        <w:jc w:val="center"/>
        <w:rPr>
          <w:rFonts w:ascii="Garamond" w:eastAsia="Garamond" w:hAnsi="Garamond" w:cs="Garamond"/>
          <w:b/>
        </w:rPr>
      </w:pPr>
      <w:bookmarkStart w:id="1" w:name="_heading=h.dxfvtzm6i1aq" w:colFirst="0" w:colLast="0"/>
      <w:bookmarkEnd w:id="1"/>
      <w:r>
        <w:rPr>
          <w:rFonts w:ascii="Garamond" w:eastAsia="Garamond" w:hAnsi="Garamond" w:cs="Garamond"/>
          <w:b/>
        </w:rPr>
        <w:t>Parecer nº 108/2025</w:t>
      </w:r>
    </w:p>
    <w:p w:rsidR="009C3D47" w:rsidRDefault="009C3D47">
      <w:pPr>
        <w:tabs>
          <w:tab w:val="center" w:pos="1980"/>
        </w:tabs>
        <w:spacing w:line="360" w:lineRule="auto"/>
        <w:rPr>
          <w:rFonts w:ascii="Garamond" w:eastAsia="Garamond" w:hAnsi="Garamond" w:cs="Garamond"/>
          <w:b/>
        </w:rPr>
      </w:pPr>
    </w:p>
    <w:p w:rsidR="009C3D47" w:rsidRDefault="009C3D47">
      <w:pPr>
        <w:tabs>
          <w:tab w:val="center" w:pos="1980"/>
        </w:tabs>
        <w:spacing w:line="360" w:lineRule="auto"/>
        <w:rPr>
          <w:rFonts w:ascii="Garamond" w:eastAsia="Garamond" w:hAnsi="Garamond" w:cs="Garamond"/>
          <w:b/>
        </w:rPr>
      </w:pPr>
    </w:p>
    <w:p w:rsidR="009C3D47" w:rsidRDefault="009C3D47">
      <w:pPr>
        <w:tabs>
          <w:tab w:val="center" w:pos="1980"/>
        </w:tabs>
        <w:spacing w:line="360" w:lineRule="auto"/>
        <w:rPr>
          <w:rFonts w:ascii="Garamond" w:eastAsia="Garamond" w:hAnsi="Garamond" w:cs="Garamond"/>
          <w:b/>
        </w:rPr>
      </w:pPr>
    </w:p>
    <w:p w:rsidR="009C3D47" w:rsidRDefault="00842209">
      <w:pPr>
        <w:tabs>
          <w:tab w:val="left" w:pos="1418"/>
          <w:tab w:val="center" w:pos="1980"/>
        </w:tabs>
        <w:spacing w:line="36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ab/>
        <w:t>I. Consulta</w:t>
      </w:r>
    </w:p>
    <w:p w:rsidR="009C3D47" w:rsidRDefault="00842209">
      <w:pPr>
        <w:tabs>
          <w:tab w:val="left" w:pos="851"/>
          <w:tab w:val="center" w:pos="1980"/>
        </w:tabs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</w:p>
    <w:p w:rsidR="009C3D47" w:rsidRDefault="00842209">
      <w:pPr>
        <w:tabs>
          <w:tab w:val="left" w:pos="1418"/>
        </w:tabs>
        <w:spacing w:line="36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>01.</w:t>
      </w:r>
      <w:r>
        <w:rPr>
          <w:rFonts w:ascii="Garamond" w:eastAsia="Garamond" w:hAnsi="Garamond" w:cs="Garamond"/>
        </w:rPr>
        <w:tab/>
        <w:t xml:space="preserve">Refere-se </w:t>
      </w:r>
      <w:proofErr w:type="gramStart"/>
      <w:r>
        <w:rPr>
          <w:rFonts w:ascii="Garamond" w:eastAsia="Garamond" w:hAnsi="Garamond" w:cs="Garamond"/>
        </w:rPr>
        <w:t>a</w:t>
      </w:r>
      <w:proofErr w:type="gramEnd"/>
      <w:r>
        <w:rPr>
          <w:rFonts w:ascii="Garamond" w:eastAsia="Garamond" w:hAnsi="Garamond" w:cs="Garamond"/>
        </w:rPr>
        <w:t xml:space="preserve"> consulta ao Projeto de Lei 52/2025, de autoria parlamentar, que altera a Lei nº 1.997, de 13 de março de 1996, que “Dispõe sobre a reorganização das carreiras funcionais dos servidores públicos da Prefeitura de Foz do Iguaçu, para o fim específico de tratar das carreiras relacionadas à área da segurança pública.</w:t>
      </w:r>
    </w:p>
    <w:p w:rsidR="009C3D47" w:rsidRDefault="009C3D47">
      <w:pPr>
        <w:tabs>
          <w:tab w:val="left" w:pos="1418"/>
          <w:tab w:val="center" w:pos="1980"/>
        </w:tabs>
        <w:spacing w:line="360" w:lineRule="auto"/>
        <w:ind w:left="1416" w:hanging="1416"/>
        <w:jc w:val="both"/>
        <w:rPr>
          <w:rFonts w:ascii="Garamond" w:eastAsia="Garamond" w:hAnsi="Garamond" w:cs="Garamond"/>
          <w:b/>
        </w:rPr>
      </w:pPr>
    </w:p>
    <w:p w:rsidR="009C3D47" w:rsidRDefault="00842209">
      <w:pPr>
        <w:tabs>
          <w:tab w:val="left" w:pos="1418"/>
          <w:tab w:val="center" w:pos="1980"/>
        </w:tabs>
        <w:spacing w:line="360" w:lineRule="auto"/>
        <w:ind w:left="1416" w:hanging="1416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>II. Análise Jurídica:</w:t>
      </w:r>
      <w:r>
        <w:rPr>
          <w:rFonts w:ascii="Garamond" w:eastAsia="Garamond" w:hAnsi="Garamond" w:cs="Garamond"/>
          <w:b/>
        </w:rPr>
        <w:tab/>
      </w:r>
    </w:p>
    <w:p w:rsidR="009C3D47" w:rsidRDefault="00842209">
      <w:pPr>
        <w:tabs>
          <w:tab w:val="left" w:pos="1418"/>
          <w:tab w:val="center" w:pos="1980"/>
        </w:tabs>
        <w:spacing w:line="360" w:lineRule="auto"/>
        <w:ind w:left="1416" w:hanging="1416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</w:rPr>
        <w:tab/>
        <w:t xml:space="preserve">Dos Limites da Competência do Município. Das Diretrizes Constitucionais para a Iniciativa. Vício de Origem. Insurgência do Legislativo em Assuntos Privativos </w:t>
      </w:r>
    </w:p>
    <w:p w:rsidR="009C3D47" w:rsidRDefault="009C3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</w:rPr>
      </w:pP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color w:val="000000"/>
        </w:rPr>
        <w:t>02.</w:t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</w:rPr>
        <w:t xml:space="preserve">Conforme preconizado no ordenamento constitucional, em matéria legislativa a Constituição Federal confere aos municípios a parcela de competência para tratar de assuntos afetos ao </w:t>
      </w:r>
      <w:r>
        <w:rPr>
          <w:rFonts w:ascii="Garamond" w:eastAsia="Garamond" w:hAnsi="Garamond" w:cs="Garamond"/>
          <w:i/>
        </w:rPr>
        <w:t>interesse local,</w:t>
      </w:r>
      <w:r>
        <w:rPr>
          <w:rFonts w:ascii="Garamond" w:eastAsia="Garamond" w:hAnsi="Garamond" w:cs="Garamond"/>
        </w:rPr>
        <w:t xml:space="preserve"> em que pese não existir uma enumeração absoluta e taxativa do que venha a expressar o </w:t>
      </w:r>
      <w:r>
        <w:rPr>
          <w:rFonts w:ascii="Garamond" w:eastAsia="Garamond" w:hAnsi="Garamond" w:cs="Garamond"/>
          <w:i/>
        </w:rPr>
        <w:t>interesse local</w:t>
      </w:r>
      <w:r>
        <w:rPr>
          <w:rFonts w:ascii="Garamond" w:eastAsia="Garamond" w:hAnsi="Garamond" w:cs="Garamond"/>
        </w:rPr>
        <w:t xml:space="preserve">. 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lastRenderedPageBreak/>
        <w:t>03.</w:t>
      </w:r>
      <w:r>
        <w:rPr>
          <w:rFonts w:ascii="Garamond" w:eastAsia="Garamond" w:hAnsi="Garamond" w:cs="Garamond"/>
        </w:rPr>
        <w:tab/>
        <w:t>Sob uma perspectiva estritamente jurídica, o eminente jurista Hely Lopes Meireles, adverte que a parcela do interesse local reservada aos Municípios se caracteriza pela predominância e não pela exclusividade do interesse para o município, em relação ao do Estado e da União. Isso porque não há assunto municipal que não seja reflexamente de interesse estadual e nacional. A diferença é apenas de grau, e não de substância. (Direito Administrativo Brasileiro. São Paulo: Malheiros Editores, 1996. 32ª ed. p. 339).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04.</w:t>
      </w:r>
      <w:r>
        <w:rPr>
          <w:rFonts w:ascii="Garamond" w:eastAsia="Garamond" w:hAnsi="Garamond" w:cs="Garamond"/>
        </w:rPr>
        <w:tab/>
        <w:t>Na sequência, acrescenta o autor: “A aferição, portanto, da competência municipal sobre serviços públicos locais há de ser feita em cada caso concreto, tomando-se como elemento aferidor o critério da predominância do interesse, e não, o da exclusividade, em face das circunstâncias de lugar, natureza e finalidade do serviço”.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05.</w:t>
      </w:r>
      <w:r>
        <w:rPr>
          <w:rFonts w:ascii="Garamond" w:eastAsia="Garamond" w:hAnsi="Garamond" w:cs="Garamond"/>
        </w:rPr>
        <w:tab/>
        <w:t xml:space="preserve">O </w:t>
      </w:r>
      <w:proofErr w:type="gramStart"/>
      <w:r>
        <w:rPr>
          <w:rFonts w:ascii="Garamond" w:eastAsia="Garamond" w:hAnsi="Garamond" w:cs="Garamond"/>
        </w:rPr>
        <w:t>ex-Presidente</w:t>
      </w:r>
      <w:proofErr w:type="gramEnd"/>
      <w:r>
        <w:rPr>
          <w:rFonts w:ascii="Garamond" w:eastAsia="Garamond" w:hAnsi="Garamond" w:cs="Garamond"/>
        </w:rPr>
        <w:t>, Michel Temer, enquanto professor de Direito Constitucional, observa que a expressão interesse local, doutrinariamente, assume igual significado da expressão peculiar interesse. (TEMER, Michel. Elementos de Direito Constitucional, 14ª ed. São Paulo. Malheiros. 1999).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06.</w:t>
      </w:r>
      <w:r>
        <w:rPr>
          <w:rFonts w:ascii="Garamond" w:eastAsia="Garamond" w:hAnsi="Garamond" w:cs="Garamond"/>
        </w:rPr>
        <w:tab/>
        <w:t>Desse modo, é necessário observarmos caso a caso para identificarmos se um determinado tema reclama alguma prioridade para ser assinalado como de interesse local do Município, prevenindo que o ente municipal exorbite de suas competências materiais ou que se mantenha inerte, deixando de tratar, isto é, de legislar, a respeito de matéria de suma importância para a cidade.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07. </w:t>
      </w:r>
      <w:r>
        <w:rPr>
          <w:rFonts w:ascii="Garamond" w:eastAsia="Garamond" w:hAnsi="Garamond" w:cs="Garamond"/>
        </w:rPr>
        <w:tab/>
        <w:t xml:space="preserve"> Além da observância das regras de competência aludidas na Constituição da República, o processo legislativo se submete à demonstração do </w:t>
      </w:r>
      <w:r>
        <w:rPr>
          <w:rFonts w:ascii="Garamond" w:eastAsia="Garamond" w:hAnsi="Garamond" w:cs="Garamond"/>
          <w:i/>
        </w:rPr>
        <w:t>interesse</w:t>
      </w:r>
      <w:r>
        <w:rPr>
          <w:rFonts w:ascii="Garamond" w:eastAsia="Garamond" w:hAnsi="Garamond" w:cs="Garamond"/>
        </w:rPr>
        <w:t xml:space="preserve"> e da </w:t>
      </w:r>
      <w:r>
        <w:rPr>
          <w:rFonts w:ascii="Garamond" w:eastAsia="Garamond" w:hAnsi="Garamond" w:cs="Garamond"/>
          <w:i/>
        </w:rPr>
        <w:t>finalidade</w:t>
      </w:r>
      <w:r>
        <w:rPr>
          <w:rFonts w:ascii="Garamond" w:eastAsia="Garamond" w:hAnsi="Garamond" w:cs="Garamond"/>
        </w:rPr>
        <w:t xml:space="preserve"> pública e dos respectivos benefícios advindos à coletividade que a iniciativa </w:t>
      </w:r>
      <w:proofErr w:type="gramStart"/>
      <w:r>
        <w:rPr>
          <w:rFonts w:ascii="Garamond" w:eastAsia="Garamond" w:hAnsi="Garamond" w:cs="Garamond"/>
        </w:rPr>
        <w:t>proporcionará,</w:t>
      </w:r>
      <w:proofErr w:type="gramEnd"/>
      <w:r>
        <w:rPr>
          <w:rFonts w:ascii="Garamond" w:eastAsia="Garamond" w:hAnsi="Garamond" w:cs="Garamond"/>
        </w:rPr>
        <w:t xml:space="preserve"> o que restou atendido no presente expediente.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08.</w:t>
      </w:r>
      <w:r>
        <w:rPr>
          <w:rFonts w:ascii="Garamond" w:eastAsia="Garamond" w:hAnsi="Garamond" w:cs="Garamond"/>
        </w:rPr>
        <w:tab/>
        <w:t xml:space="preserve">Também vale registrar que a edição de uma simples medida, ato ou norma, que poderá acarretar efeitos na esfera individual ou coletiva, pressupõe, no mínimo, a valoração de alguns pressupostos, dentre os quais destacamos: a necessidade e a adequação dos meios escolhidos e os fins pretendidos. 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09.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  <w:i/>
        </w:rPr>
        <w:t xml:space="preserve">In </w:t>
      </w:r>
      <w:proofErr w:type="spellStart"/>
      <w:r>
        <w:rPr>
          <w:rFonts w:ascii="Garamond" w:eastAsia="Garamond" w:hAnsi="Garamond" w:cs="Garamond"/>
          <w:i/>
        </w:rPr>
        <w:t>casu</w:t>
      </w:r>
      <w:proofErr w:type="spellEnd"/>
      <w:r>
        <w:rPr>
          <w:rFonts w:ascii="Garamond" w:eastAsia="Garamond" w:hAnsi="Garamond" w:cs="Garamond"/>
          <w:i/>
        </w:rPr>
        <w:t>,</w:t>
      </w:r>
      <w:r>
        <w:rPr>
          <w:rFonts w:ascii="Garamond" w:eastAsia="Garamond" w:hAnsi="Garamond" w:cs="Garamond"/>
        </w:rPr>
        <w:t xml:space="preserve"> as justificativas que embasaram a deflagração da iniciativa informam:</w:t>
      </w:r>
    </w:p>
    <w:p w:rsidR="009C3D47" w:rsidRDefault="009C3D47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hanging="2"/>
        <w:jc w:val="both"/>
        <w:rPr>
          <w:rFonts w:ascii="Garamond" w:eastAsia="Garamond" w:hAnsi="Garamond" w:cs="Garamond"/>
        </w:rPr>
      </w:pP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 proposição em tela tem por objetivo atualizar a nomenclatura da Guarda Municipal (GM) para Polícia Municipal, a fim de reconhecer seu real e </w:t>
      </w:r>
      <w:r>
        <w:rPr>
          <w:rFonts w:ascii="Garamond" w:eastAsia="Garamond" w:hAnsi="Garamond" w:cs="Garamond"/>
          <w:sz w:val="22"/>
          <w:szCs w:val="22"/>
        </w:rPr>
        <w:lastRenderedPageBreak/>
        <w:t xml:space="preserve">fundamental papel na proteção do povo </w:t>
      </w:r>
      <w:proofErr w:type="spellStart"/>
      <w:r>
        <w:rPr>
          <w:rFonts w:ascii="Garamond" w:eastAsia="Garamond" w:hAnsi="Garamond" w:cs="Garamond"/>
          <w:sz w:val="22"/>
          <w:szCs w:val="22"/>
        </w:rPr>
        <w:t>iguaçuense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, do patrimônio público, dos nossos turistas, bem como no apoio às forças de segurança estaduais e federais. 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 mudança na denominação "Polícia Municipal" objetiva reconhecer a identidade institucional da corporação, evidenciando sua relevância no sistema de segurança pública. 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Ante o exposto, peço apoio </w:t>
      </w:r>
      <w:proofErr w:type="gramStart"/>
      <w:r>
        <w:rPr>
          <w:rFonts w:ascii="Garamond" w:eastAsia="Garamond" w:hAnsi="Garamond" w:cs="Garamond"/>
          <w:sz w:val="22"/>
          <w:szCs w:val="22"/>
        </w:rPr>
        <w:t>a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aprovação desta proposta que é tema primordial para o reconhecimento da importância da “Polícia Municipal“ para a segurança de todos nós. </w:t>
      </w:r>
    </w:p>
    <w:p w:rsidR="009C3D47" w:rsidRDefault="009C3D47">
      <w:pPr>
        <w:tabs>
          <w:tab w:val="left" w:pos="1418"/>
          <w:tab w:val="center" w:pos="1980"/>
          <w:tab w:val="left" w:pos="2160"/>
          <w:tab w:val="center" w:pos="2520"/>
        </w:tabs>
        <w:spacing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</w:p>
    <w:p w:rsidR="009C3D47" w:rsidRDefault="00842209">
      <w:pPr>
        <w:tabs>
          <w:tab w:val="left" w:pos="851"/>
          <w:tab w:val="left" w:pos="1418"/>
          <w:tab w:val="center" w:pos="1980"/>
          <w:tab w:val="center" w:pos="2520"/>
        </w:tabs>
        <w:spacing w:before="280" w:after="280"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10.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 w:rsidR="000F644E"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</w:rPr>
        <w:t>iante das razões expostas em sede de justificativa, é possível identificarmos o</w:t>
      </w:r>
      <w:r>
        <w:rPr>
          <w:rFonts w:ascii="Garamond" w:eastAsia="Garamond" w:hAnsi="Garamond" w:cs="Garamond"/>
          <w:i/>
        </w:rPr>
        <w:t xml:space="preserve"> interesse local, </w:t>
      </w:r>
      <w:r>
        <w:rPr>
          <w:rFonts w:ascii="Garamond" w:eastAsia="Garamond" w:hAnsi="Garamond" w:cs="Garamond"/>
        </w:rPr>
        <w:t>simplesmente porque a função precípua que justifica a instituição do Estado e consequente organização da Administração Pública é servir, proporcionando o bem-estar e acima de tudo a segurança para a população</w:t>
      </w:r>
      <w:r w:rsidR="000F644E">
        <w:rPr>
          <w:rFonts w:ascii="Garamond" w:eastAsia="Garamond" w:hAnsi="Garamond" w:cs="Garamond"/>
        </w:rPr>
        <w:t>, representando a Guarda Municipal um dos instrumentos para atingimento desta finalidade pública e coletiva</w:t>
      </w:r>
      <w:r>
        <w:rPr>
          <w:rFonts w:ascii="Garamond" w:eastAsia="Garamond" w:hAnsi="Garamond" w:cs="Garamond"/>
        </w:rPr>
        <w:t>.</w:t>
      </w:r>
    </w:p>
    <w:p w:rsidR="009C3D47" w:rsidRDefault="00842209">
      <w:pPr>
        <w:tabs>
          <w:tab w:val="left" w:pos="851"/>
          <w:tab w:val="left" w:pos="1418"/>
          <w:tab w:val="center" w:pos="1980"/>
          <w:tab w:val="center" w:pos="2520"/>
        </w:tabs>
        <w:spacing w:before="280" w:after="280"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11.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Ocorre que, o conteúdo da proposta não se limitou a propor nova nomenclatura na carreira dos Guardas Municipais, haja vista que também tratou de estabelecer mecanismos de evolução/desenvolvimento na carreira dos servidores ocupantes do grupo da Guarda Municipal, tal como </w:t>
      </w:r>
      <w:r w:rsidR="000F644E">
        <w:rPr>
          <w:rFonts w:ascii="Garamond" w:eastAsia="Garamond" w:hAnsi="Garamond" w:cs="Garamond"/>
        </w:rPr>
        <w:t xml:space="preserve">apresentado na </w:t>
      </w:r>
      <w:r>
        <w:rPr>
          <w:rFonts w:ascii="Garamond" w:eastAsia="Garamond" w:hAnsi="Garamond" w:cs="Garamond"/>
        </w:rPr>
        <w:t>proposta de modificação do art. 37 da Lei 1997/96.</w:t>
      </w:r>
    </w:p>
    <w:p w:rsidR="009C3D47" w:rsidRDefault="00842209">
      <w:pPr>
        <w:tabs>
          <w:tab w:val="left" w:pos="851"/>
          <w:tab w:val="left" w:pos="1418"/>
          <w:tab w:val="center" w:pos="1980"/>
          <w:tab w:val="center" w:pos="2520"/>
        </w:tabs>
        <w:spacing w:before="280" w:after="280"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12.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Portanto, a proposta em si não se mostra ajustada aos ditames constitucionais normativos locais, notadamente o art. 61, §1º, inciso I alínea “a” da Constituição da República que informa:</w:t>
      </w:r>
    </w:p>
    <w:p w:rsidR="009C3D47" w:rsidRDefault="00842209">
      <w:pPr>
        <w:shd w:val="clear" w:color="auto" w:fill="FFFFFF"/>
        <w:tabs>
          <w:tab w:val="left" w:pos="851"/>
          <w:tab w:val="left" w:pos="1418"/>
          <w:tab w:val="center" w:pos="1980"/>
          <w:tab w:val="center" w:pos="2520"/>
        </w:tabs>
        <w:spacing w:before="200"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:rsidR="009C3D47" w:rsidRDefault="00842209">
      <w:pPr>
        <w:shd w:val="clear" w:color="auto" w:fill="FFFFFF"/>
        <w:tabs>
          <w:tab w:val="left" w:pos="851"/>
          <w:tab w:val="left" w:pos="1418"/>
          <w:tab w:val="center" w:pos="1980"/>
          <w:tab w:val="center" w:pos="2520"/>
        </w:tabs>
        <w:spacing w:before="200"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§ 1º São de iniciativa privativa do Presidente da República as leis que:</w:t>
      </w:r>
    </w:p>
    <w:p w:rsidR="009C3D47" w:rsidRDefault="00842209">
      <w:pPr>
        <w:shd w:val="clear" w:color="auto" w:fill="FFFFFF"/>
        <w:tabs>
          <w:tab w:val="left" w:pos="851"/>
          <w:tab w:val="left" w:pos="1418"/>
          <w:tab w:val="center" w:pos="1980"/>
          <w:tab w:val="center" w:pos="2520"/>
        </w:tabs>
        <w:spacing w:before="200"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lastRenderedPageBreak/>
        <w:t>…</w:t>
      </w:r>
    </w:p>
    <w:p w:rsidR="009C3D47" w:rsidRDefault="00842209">
      <w:pPr>
        <w:shd w:val="clear" w:color="auto" w:fill="FFFFFF"/>
        <w:tabs>
          <w:tab w:val="left" w:pos="851"/>
          <w:tab w:val="left" w:pos="1418"/>
          <w:tab w:val="center" w:pos="1980"/>
          <w:tab w:val="center" w:pos="2520"/>
        </w:tabs>
        <w:spacing w:before="200"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II - disponham sobre:</w:t>
      </w:r>
    </w:p>
    <w:p w:rsidR="009C3D47" w:rsidRDefault="00842209">
      <w:pPr>
        <w:shd w:val="clear" w:color="auto" w:fill="FFFFFF"/>
        <w:tabs>
          <w:tab w:val="left" w:pos="851"/>
          <w:tab w:val="left" w:pos="1418"/>
          <w:tab w:val="center" w:pos="1980"/>
          <w:tab w:val="center" w:pos="2520"/>
        </w:tabs>
        <w:spacing w:before="200"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a) criação de cargos, funções ou empregos públicos na administração direta e autárquica ou aumento de sua remuneração;</w:t>
      </w:r>
    </w:p>
    <w:p w:rsidR="009C3D47" w:rsidRDefault="00842209">
      <w:pPr>
        <w:tabs>
          <w:tab w:val="left" w:pos="851"/>
          <w:tab w:val="left" w:pos="1418"/>
          <w:tab w:val="center" w:pos="1980"/>
          <w:tab w:val="center" w:pos="2520"/>
        </w:tabs>
        <w:spacing w:before="280" w:after="280" w:line="360" w:lineRule="auto"/>
        <w:ind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13.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Ainda, no que concerne aos limites relacionados à iniciativa, a Lei Orgânica Municipal adverte: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551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bookmarkStart w:id="2" w:name="bookmark=id.m7vizxrvi5pt" w:colFirst="0" w:colLast="0"/>
      <w:bookmarkEnd w:id="2"/>
      <w:r>
        <w:rPr>
          <w:rFonts w:ascii="Garamond" w:eastAsia="Garamond" w:hAnsi="Garamond" w:cs="Garamond"/>
          <w:color w:val="000000"/>
          <w:sz w:val="22"/>
          <w:szCs w:val="22"/>
        </w:rPr>
        <w:t>Art. 45 Compete privativamente ao Prefeito Municipal a iniciativa das leis que versem sobre: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color w:val="333333"/>
          <w:sz w:val="22"/>
          <w:szCs w:val="22"/>
          <w:highlight w:val="white"/>
        </w:rPr>
        <w:t>I - regime jurídico dos servidores;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color w:val="333333"/>
          <w:sz w:val="22"/>
          <w:szCs w:val="22"/>
          <w:highlight w:val="white"/>
        </w:rPr>
        <w:t>II - criação de cargos, empregos e funções na Administração direta do Município, ou aumento de sua remuneração;</w:t>
      </w:r>
    </w:p>
    <w:p w:rsidR="009C3D47" w:rsidRDefault="00842209">
      <w:pP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color w:val="333333"/>
          <w:sz w:val="22"/>
          <w:szCs w:val="22"/>
          <w:highlight w:val="white"/>
        </w:rPr>
        <w:t>III - orçamento anual, diretrizes orçamentárias e plano plurianual;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color w:val="333333"/>
          <w:sz w:val="22"/>
          <w:szCs w:val="22"/>
          <w:highlight w:val="white"/>
        </w:rPr>
        <w:t>IV - criação, estruturação e atribuições dos órgãos da Administração direta do Município.</w:t>
      </w:r>
    </w:p>
    <w:p w:rsidR="009C3D47" w:rsidRDefault="009C3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1701"/>
        <w:jc w:val="both"/>
        <w:rPr>
          <w:rFonts w:ascii="Garamond" w:eastAsia="Garamond" w:hAnsi="Garamond" w:cs="Garamond"/>
          <w:sz w:val="22"/>
          <w:szCs w:val="22"/>
        </w:rPr>
      </w:pP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color w:val="000000"/>
        </w:rPr>
        <w:t>14.</w:t>
      </w:r>
      <w:r>
        <w:rPr>
          <w:rFonts w:ascii="Garamond" w:eastAsia="Garamond" w:hAnsi="Garamond" w:cs="Garamond"/>
          <w:color w:val="000000"/>
        </w:rPr>
        <w:tab/>
        <w:t xml:space="preserve">Do enunciado </w:t>
      </w:r>
      <w:proofErr w:type="gramStart"/>
      <w:r>
        <w:rPr>
          <w:rFonts w:ascii="Garamond" w:eastAsia="Garamond" w:hAnsi="Garamond" w:cs="Garamond"/>
          <w:color w:val="000000"/>
        </w:rPr>
        <w:t>r.</w:t>
      </w:r>
      <w:proofErr w:type="gramEnd"/>
      <w:r>
        <w:rPr>
          <w:rFonts w:ascii="Garamond" w:eastAsia="Garamond" w:hAnsi="Garamond" w:cs="Garamond"/>
          <w:color w:val="000000"/>
        </w:rPr>
        <w:t xml:space="preserve"> transcrito se percebe que a tarefa do Executivo não se esgota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na simples capacidade de iniciar um projeto, restando-lhe, também, consignado o dever de delimitar as atribuições afetas à esfera da atuação de cada repartição pública. Daí porque o conteúdo da proposta se mostraria viciado e contrário aos comandos constitucionais, isso porque, segundo precedentes do Supremo Tribunal Federal, a elaboração de normas que </w:t>
      </w:r>
      <w:r>
        <w:rPr>
          <w:rFonts w:ascii="Garamond" w:eastAsia="Garamond" w:hAnsi="Garamond" w:cs="Garamond"/>
        </w:rPr>
        <w:t>remodelam</w:t>
      </w:r>
      <w:r>
        <w:rPr>
          <w:rFonts w:ascii="Garamond" w:eastAsia="Garamond" w:hAnsi="Garamond" w:cs="Garamond"/>
          <w:color w:val="000000"/>
        </w:rPr>
        <w:t xml:space="preserve"> as atribuições de órgãos pertencentes à estrutura da administração de determinada unidade da Federação condiciona-se à iniciativa do Chefe do Poder Executivo. Nessa linha, colecionamos os seguintes precedentes: 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259"/>
        </w:tabs>
        <w:spacing w:after="200" w:line="360" w:lineRule="auto"/>
        <w:ind w:left="2267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EMENTA: CONSTITUCIONAL. ADI. CRIAÇÃO DE VANTAGEM FUNCIONAL PARA SERVIDORES DO PODER EXECUTIVO EM EXERCÍCIO JUNTO AO TRIBUNAL DE CONTAS ESTADUAL. </w:t>
      </w:r>
      <w:r>
        <w:rPr>
          <w:rFonts w:ascii="Garamond" w:eastAsia="Garamond" w:hAnsi="Garamond" w:cs="Garamond"/>
          <w:sz w:val="22"/>
          <w:szCs w:val="22"/>
        </w:rPr>
        <w:lastRenderedPageBreak/>
        <w:t>INCONSTITUCIONALIDADE FORMAL. RESERVA DE INICIATIVA (ART. 61, §1 º, II, “A”, CF). AÇÃO PROCEDENTE.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259"/>
        </w:tabs>
        <w:spacing w:after="200" w:line="360" w:lineRule="auto"/>
        <w:ind w:left="2267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1. Ação direta processada sob o rito do art. 10 da Lei 9868/1999 que, dada </w:t>
      </w:r>
      <w:proofErr w:type="gramStart"/>
      <w:r>
        <w:rPr>
          <w:rFonts w:ascii="Garamond" w:eastAsia="Garamond" w:hAnsi="Garamond" w:cs="Garamond"/>
          <w:sz w:val="22"/>
          <w:szCs w:val="22"/>
        </w:rPr>
        <w:t>a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simplicidade da questão jurídica em causa, comporta o julgamento imediato do mérito. Questão de ordem. 2. Viola a cláusula de reserva de iniciativa do chefe do Poder </w:t>
      </w:r>
      <w:proofErr w:type="gramStart"/>
      <w:r>
        <w:rPr>
          <w:rFonts w:ascii="Garamond" w:eastAsia="Garamond" w:hAnsi="Garamond" w:cs="Garamond"/>
          <w:sz w:val="22"/>
          <w:szCs w:val="22"/>
        </w:rPr>
        <w:t>Executivo (art. 61, § 1º, II, “a”, extensível aos Estados-Membros por força do art. 25 da CF) a concessão de gratificação</w:t>
      </w:r>
      <w:proofErr w:type="gramEnd"/>
      <w:r>
        <w:rPr>
          <w:rFonts w:ascii="Garamond" w:eastAsia="Garamond" w:hAnsi="Garamond" w:cs="Garamond"/>
          <w:sz w:val="22"/>
          <w:szCs w:val="22"/>
        </w:rPr>
        <w:t xml:space="preserve"> a policiais militares integrantes de assessoria militar junto ao Tribunal de Contas estadual. O exercício funcional junto a outros órgãos ou Poderes não desnatura o vínculo entre esses servidores e seu cargo e órgão de origem. 3. Ação julgada procedente.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259"/>
        </w:tabs>
        <w:spacing w:after="200" w:line="360" w:lineRule="auto"/>
        <w:ind w:left="2267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[...]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259"/>
        </w:tabs>
        <w:spacing w:after="200" w:line="360" w:lineRule="auto"/>
        <w:ind w:left="2267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É que, ao definir o sistema de equilíbrio entre os Poderes constituídos, as normas que estabelecem reservas à iniciativa de processo legislativo cumprem um papel expressivo na determinação da identidade federativa do Estado brasileiro. Bem por isso é que, por força da prerrogativa instituída pelo art. 61, § 1º, II, “a”, da Constituição Federal, somente o chefe do Poder Executivo Estadual terá autoridade para instaurar processo legislativo que tenha repercussão sobre o regime jurídico dos servidores estaduais, no que se inclui, obviamente, a propositura de leis que concedam benefícios remuneratórios. São ilustrativos dessa orientação os seguintes julgados: </w:t>
      </w:r>
      <w:proofErr w:type="spellStart"/>
      <w:proofErr w:type="gramStart"/>
      <w:r>
        <w:rPr>
          <w:rFonts w:ascii="Garamond" w:eastAsia="Garamond" w:hAnsi="Garamond" w:cs="Garamond"/>
          <w:sz w:val="22"/>
          <w:szCs w:val="22"/>
        </w:rPr>
        <w:t>ADIs</w:t>
      </w:r>
      <w:proofErr w:type="spellEnd"/>
      <w:proofErr w:type="gramEnd"/>
      <w:r>
        <w:rPr>
          <w:rFonts w:ascii="Garamond" w:eastAsia="Garamond" w:hAnsi="Garamond" w:cs="Garamond"/>
          <w:sz w:val="22"/>
          <w:szCs w:val="22"/>
        </w:rPr>
        <w:t xml:space="preserve"> 774, Rel. Min. SEPÚLVEDA PERTENCE, DJ de 26/2/1999; 2.420, </w:t>
      </w:r>
      <w:proofErr w:type="spellStart"/>
      <w:r>
        <w:rPr>
          <w:rFonts w:ascii="Garamond" w:eastAsia="Garamond" w:hAnsi="Garamond" w:cs="Garamond"/>
          <w:sz w:val="22"/>
          <w:szCs w:val="22"/>
        </w:rPr>
        <w:t>Relª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. Minª. ELLEN GRACIE, DJ de 8/4/2005; 2113=, </w:t>
      </w:r>
      <w:proofErr w:type="spellStart"/>
      <w:r>
        <w:rPr>
          <w:rFonts w:ascii="Garamond" w:eastAsia="Garamond" w:hAnsi="Garamond" w:cs="Garamond"/>
          <w:sz w:val="22"/>
          <w:szCs w:val="22"/>
        </w:rPr>
        <w:t>Relª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. Minª. CÁRMEN LÚCIA, </w:t>
      </w:r>
      <w:proofErr w:type="spellStart"/>
      <w:proofErr w:type="gramStart"/>
      <w:r>
        <w:rPr>
          <w:rFonts w:ascii="Garamond" w:eastAsia="Garamond" w:hAnsi="Garamond" w:cs="Garamond"/>
          <w:sz w:val="22"/>
          <w:szCs w:val="22"/>
        </w:rPr>
        <w:t>DJe</w:t>
      </w:r>
      <w:proofErr w:type="spellEnd"/>
      <w:proofErr w:type="gramEnd"/>
      <w:r>
        <w:rPr>
          <w:rFonts w:ascii="Garamond" w:eastAsia="Garamond" w:hAnsi="Garamond" w:cs="Garamond"/>
          <w:sz w:val="22"/>
          <w:szCs w:val="22"/>
        </w:rPr>
        <w:t xml:space="preserve"> de 21/8/2009; e 2.856, Rel. Min. GILMAR MENDES, </w:t>
      </w:r>
      <w:proofErr w:type="spellStart"/>
      <w:r>
        <w:rPr>
          <w:rFonts w:ascii="Garamond" w:eastAsia="Garamond" w:hAnsi="Garamond" w:cs="Garamond"/>
          <w:sz w:val="22"/>
          <w:szCs w:val="22"/>
        </w:rPr>
        <w:t>DJe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de 1º/3/2011. </w:t>
      </w:r>
      <w:hyperlink r:id="rId9">
        <w:r>
          <w:rPr>
            <w:rFonts w:ascii="Garamond" w:eastAsia="Garamond" w:hAnsi="Garamond" w:cs="Garamond"/>
            <w:color w:val="1155CC"/>
            <w:sz w:val="22"/>
            <w:szCs w:val="22"/>
            <w:u w:val="single"/>
          </w:rPr>
          <w:t>https://redir.stf.jus.br/paginadorpub/paginador.jsp?docTP=TP&amp;docID=14713616</w:t>
        </w:r>
      </w:hyperlink>
      <w:r>
        <w:rPr>
          <w:rFonts w:ascii="Garamond" w:eastAsia="Garamond" w:hAnsi="Garamond" w:cs="Garamond"/>
          <w:sz w:val="22"/>
          <w:szCs w:val="22"/>
        </w:rPr>
        <w:t xml:space="preserve"> Acesso em 16/04/2025</w:t>
      </w:r>
    </w:p>
    <w:p w:rsidR="009C3D47" w:rsidRDefault="009C3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267"/>
        <w:jc w:val="both"/>
        <w:rPr>
          <w:rFonts w:ascii="Garamond" w:eastAsia="Garamond" w:hAnsi="Garamond" w:cs="Garamond"/>
          <w:sz w:val="22"/>
          <w:szCs w:val="22"/>
        </w:rPr>
      </w:pPr>
    </w:p>
    <w:p w:rsidR="009C3D47" w:rsidRDefault="009C3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1701"/>
        <w:jc w:val="both"/>
        <w:rPr>
          <w:rFonts w:ascii="Garamond" w:eastAsia="Garamond" w:hAnsi="Garamond" w:cs="Garamond"/>
          <w:sz w:val="22"/>
          <w:szCs w:val="22"/>
        </w:rPr>
      </w:pP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267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[...] </w:t>
      </w:r>
      <w:r>
        <w:rPr>
          <w:rFonts w:ascii="Garamond" w:eastAsia="Garamond" w:hAnsi="Garamond" w:cs="Garamond"/>
          <w:color w:val="000000"/>
          <w:sz w:val="22"/>
          <w:szCs w:val="22"/>
          <w:u w:val="single"/>
        </w:rPr>
        <w:t xml:space="preserve">qualquer norma que regulamente a criação, estruturação e atribuições dos órgãos da Administração Pública é matéria que se insere dentre aquelas que </w:t>
      </w:r>
      <w:r>
        <w:rPr>
          <w:rFonts w:ascii="Garamond" w:eastAsia="Garamond" w:hAnsi="Garamond" w:cs="Garamond"/>
          <w:color w:val="000000"/>
          <w:sz w:val="22"/>
          <w:szCs w:val="22"/>
          <w:u w:val="single"/>
        </w:rPr>
        <w:lastRenderedPageBreak/>
        <w:t>integram o elenco da organização e serviços públicos, e assim sendo o texto apresentado é inconstitucional, visto que há evidente afronta ao Art. 61, §1º, inciso II, letra “e”, da Constituição Federal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e ao Art. 63, parágrafo único da Constituição Estadual. ADI 2.372. Governador do Estado do Espírito Santo. Assembleia Legislativa do Estado. Ministro Relator Sydney Sanches. Julgamento: 21/08/2002. Publicação: 28/11/2003 </w:t>
      </w:r>
      <w:hyperlink r:id="rId10">
        <w:r>
          <w:rPr>
            <w:color w:val="0000FF"/>
            <w:sz w:val="20"/>
            <w:szCs w:val="20"/>
            <w:u w:val="single"/>
          </w:rPr>
          <w:t>https://jurisprudencia.stf.jus.br/pages/search?classeNumeroIncidente=%22ADI%202372%22&amp;base=acordaos&amp;sinonimo=true&amp;plural=true&amp;page=1&amp;pageSize=10&amp;sort=_score&amp;sortBy=desc&amp;isAdvanced=true</w:t>
        </w:r>
        <w:proofErr w:type="gramStart"/>
      </w:hyperlink>
      <w:r>
        <w:rPr>
          <w:rFonts w:ascii="Garamond" w:eastAsia="Garamond" w:hAnsi="Garamond" w:cs="Garamond"/>
          <w:color w:val="000000"/>
          <w:sz w:val="20"/>
          <w:szCs w:val="20"/>
        </w:rPr>
        <w:t>”</w:t>
      </w:r>
      <w:proofErr w:type="gramEnd"/>
      <w:r>
        <w:rPr>
          <w:rFonts w:ascii="Garamond" w:eastAsia="Garamond" w:hAnsi="Garamond" w:cs="Garamond"/>
          <w:color w:val="000000"/>
          <w:sz w:val="20"/>
          <w:szCs w:val="20"/>
        </w:rPr>
        <w:t>.</w:t>
      </w:r>
    </w:p>
    <w:p w:rsidR="009C3D47" w:rsidRDefault="009C3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267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9C3D47" w:rsidRDefault="009C3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1701"/>
        <w:jc w:val="both"/>
        <w:rPr>
          <w:rFonts w:ascii="Garamond" w:eastAsia="Garamond" w:hAnsi="Garamond" w:cs="Garamond"/>
          <w:sz w:val="22"/>
          <w:szCs w:val="22"/>
        </w:rPr>
      </w:pP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267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“</w:t>
      </w:r>
      <w:proofErr w:type="gramStart"/>
      <w:r>
        <w:rPr>
          <w:rFonts w:ascii="Garamond" w:eastAsia="Garamond" w:hAnsi="Garamond" w:cs="Garamond"/>
          <w:color w:val="000000"/>
          <w:sz w:val="22"/>
          <w:szCs w:val="22"/>
        </w:rPr>
        <w:t>Trata,</w:t>
      </w:r>
      <w:proofErr w:type="gram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 isto sim, de estabelecer uma nova atribuição de órgão da administração pública (ainda que autárquico), para o que a Constituição Federal de 05/10/1988, em seu texto originário, </w:t>
      </w:r>
      <w:r>
        <w:rPr>
          <w:rFonts w:ascii="Garamond" w:eastAsia="Garamond" w:hAnsi="Garamond" w:cs="Garamond"/>
          <w:sz w:val="22"/>
          <w:szCs w:val="22"/>
        </w:rPr>
        <w:t>exige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lei de iniciativa do Poder Executivo (art. 61, § 1º, II, “e” – criação, estruturação e atribuições dos Ministérios e órgãos da administração pública).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267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Tal dispositivo constitucional não subsiste, diante da nova redação da referida alínea “e”, introduzida pela EC 32/2001, que alude apenas a </w:t>
      </w:r>
      <w:proofErr w:type="gramStart"/>
      <w:r>
        <w:rPr>
          <w:rFonts w:ascii="Garamond" w:eastAsia="Garamond" w:hAnsi="Garamond" w:cs="Garamond"/>
          <w:color w:val="000000"/>
          <w:sz w:val="22"/>
          <w:szCs w:val="22"/>
        </w:rPr>
        <w:t>“criação e extinção de Ministérios órgãos da administração pública, observados o disposto no art. 84, VI.</w:t>
      </w:r>
      <w:proofErr w:type="gramEnd"/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267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Vale dizer, </w:t>
      </w:r>
      <w:proofErr w:type="gramStart"/>
      <w:r>
        <w:rPr>
          <w:rFonts w:ascii="Garamond" w:eastAsia="Garamond" w:hAnsi="Garamond" w:cs="Garamond"/>
          <w:color w:val="000000"/>
          <w:sz w:val="22"/>
          <w:szCs w:val="22"/>
        </w:rPr>
        <w:t>a criação e extinção de órgãos da administração pública depende</w:t>
      </w:r>
      <w:proofErr w:type="gram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 de Lei, de iniciativa do Poder Executivo. E, uma vez criado o órgão, sua organização e funcionamento será regulado por Decreto (art. 84, VI</w:t>
      </w:r>
      <w:proofErr w:type="gramStart"/>
      <w:r>
        <w:rPr>
          <w:rFonts w:ascii="Garamond" w:eastAsia="Garamond" w:hAnsi="Garamond" w:cs="Garamond"/>
          <w:color w:val="000000"/>
          <w:sz w:val="22"/>
          <w:szCs w:val="22"/>
        </w:rPr>
        <w:t>) ...</w:t>
      </w:r>
      <w:proofErr w:type="gramEnd"/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267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De qualquer maneira, </w:t>
      </w:r>
      <w:r>
        <w:rPr>
          <w:rFonts w:ascii="Garamond" w:eastAsia="Garamond" w:hAnsi="Garamond" w:cs="Garamond"/>
          <w:color w:val="000000"/>
          <w:sz w:val="22"/>
          <w:szCs w:val="22"/>
          <w:u w:val="single"/>
        </w:rPr>
        <w:t>não se pode compreender que o Poder Legislativo, sem iniciativa do Poder Executivo possa alterar atribuições de órgãos da Administração Pública, quando a este último cabe a iniciativa de Lei para cria-los e extingui-los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. 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267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De que adiantaria ao Poder </w:t>
      </w:r>
      <w:proofErr w:type="gramStart"/>
      <w:r>
        <w:rPr>
          <w:rFonts w:ascii="Garamond" w:eastAsia="Garamond" w:hAnsi="Garamond" w:cs="Garamond"/>
          <w:color w:val="000000"/>
          <w:sz w:val="22"/>
          <w:szCs w:val="22"/>
        </w:rPr>
        <w:t>Executivo a iniciativa de Lei</w:t>
      </w:r>
      <w:proofErr w:type="gram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 sobre órgãos da administração pública, se, ao depois, sem sua iniciativa, outra Lei pudesse alterar todas as suas atribuições e até suprimi-las ou desvirtuá-las? 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267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lastRenderedPageBreak/>
        <w:t xml:space="preserve">Não há dúvida de que interessa sempre ao Poder Executivo a iniciativa de Lei que diga respeito a sua própria organização, como ocorre, também, por exemplo, com o Poder Judiciário.  ADI 3.254. Governador do Estado do Espírito Santo. Assembleia Legislativa do Estado. Ministra Relatora Ellen Gracie. Julgamento: 16/11/2005. </w:t>
      </w:r>
      <w:proofErr w:type="gramStart"/>
      <w:r>
        <w:rPr>
          <w:rFonts w:ascii="Garamond" w:eastAsia="Garamond" w:hAnsi="Garamond" w:cs="Garamond"/>
          <w:color w:val="000000"/>
          <w:sz w:val="22"/>
          <w:szCs w:val="22"/>
        </w:rPr>
        <w:t>Publicação:</w:t>
      </w:r>
      <w:proofErr w:type="gramEnd"/>
      <w:r>
        <w:rPr>
          <w:rFonts w:ascii="Garamond" w:eastAsia="Garamond" w:hAnsi="Garamond" w:cs="Garamond"/>
          <w:color w:val="000000"/>
          <w:sz w:val="22"/>
          <w:szCs w:val="22"/>
        </w:rPr>
        <w:t>02/12/2005.</w:t>
      </w:r>
      <w:hyperlink r:id="rId11">
        <w:r>
          <w:rPr>
            <w:color w:val="0000FF"/>
            <w:sz w:val="20"/>
            <w:szCs w:val="20"/>
            <w:u w:val="single"/>
          </w:rPr>
          <w:t>https://jurisprudencia.stf.jus.br/pages/search?classeNumeroIncidente=%22ADI%203254%22&amp;base=acordaos&amp;sinonimo=true&amp;plural=true&amp;page=1&amp;pageSize=10&amp;sort=_score&amp;sortBy=desc&amp;isAdvanced=true</w:t>
        </w:r>
      </w:hyperlink>
      <w:r>
        <w:rPr>
          <w:rFonts w:ascii="Garamond" w:eastAsia="Garamond" w:hAnsi="Garamond" w:cs="Garamond"/>
          <w:color w:val="000000"/>
          <w:sz w:val="20"/>
          <w:szCs w:val="20"/>
        </w:rPr>
        <w:t>.</w:t>
      </w:r>
    </w:p>
    <w:p w:rsidR="009C3D47" w:rsidRDefault="009C3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</w:rPr>
      </w:pP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15.</w:t>
      </w:r>
      <w:r>
        <w:rPr>
          <w:rFonts w:ascii="Garamond" w:eastAsia="Garamond" w:hAnsi="Garamond" w:cs="Garamond"/>
          <w:color w:val="000000"/>
        </w:rPr>
        <w:tab/>
        <w:t xml:space="preserve">Merece ser acrescentado que o exercício da competência de gestão da Administração, seja na esfera municipal, estadual, distrital ou federal, sobretudo a exemplo de conteúdos que impliquem </w:t>
      </w:r>
      <w:r>
        <w:rPr>
          <w:rFonts w:ascii="Garamond" w:eastAsia="Garamond" w:hAnsi="Garamond" w:cs="Garamond"/>
        </w:rPr>
        <w:t xml:space="preserve">impactos econômicos na folha de pessoal, </w:t>
      </w:r>
      <w:proofErr w:type="gramStart"/>
      <w:r>
        <w:rPr>
          <w:rFonts w:ascii="Garamond" w:eastAsia="Garamond" w:hAnsi="Garamond" w:cs="Garamond"/>
          <w:color w:val="000000"/>
        </w:rPr>
        <w:t>pertencem</w:t>
      </w:r>
      <w:proofErr w:type="gramEnd"/>
      <w:r>
        <w:rPr>
          <w:rFonts w:ascii="Garamond" w:eastAsia="Garamond" w:hAnsi="Garamond" w:cs="Garamond"/>
          <w:color w:val="000000"/>
        </w:rPr>
        <w:t xml:space="preserve"> ao chefe de seu respectivo Poder Executivo, no caso, ao Chefe do Poder Executivo Municipal, a quem, num juízo de conveniência, compete avaliar se o tema de sua alçada é oportuno ou não. Nesse sentido:</w:t>
      </w:r>
    </w:p>
    <w:p w:rsidR="009C3D47" w:rsidRDefault="009C3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</w:rPr>
      </w:pP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3. É inconstitucional qualquer tentativa do Poder Legislativo de definir previamente conteúdos ou estabelecer prazos para que o Poder Executivo, em relação às matérias afetas a sua iniciativa, apresente proposições legislativas, mesmo em sede da Constituição estadual, porquanto ofende, na seara administrativa, a garantia de gestão superior dada ao Chefe daquele poder. Os dispositivos do ADCT da Constituição gaúcha, ora questionados, exorbitam da autorização constitucional de auto-organização, interferindo indevidamente na necessária independência e na harmonia entre os Poderes, criando, globalmente, na forma nominada pelo autor, verdadeiro plano de governo, tolhendo o campo de discricionariedade e as prerrogativas próprias do chefe do Poder Executivo, em ofensa aos </w:t>
      </w:r>
      <w:proofErr w:type="spellStart"/>
      <w:r>
        <w:rPr>
          <w:rFonts w:ascii="Garamond" w:eastAsia="Garamond" w:hAnsi="Garamond" w:cs="Garamond"/>
          <w:sz w:val="22"/>
          <w:szCs w:val="22"/>
        </w:rPr>
        <w:t>arts</w:t>
      </w:r>
      <w:proofErr w:type="spellEnd"/>
      <w:r>
        <w:rPr>
          <w:rFonts w:ascii="Garamond" w:eastAsia="Garamond" w:hAnsi="Garamond" w:cs="Garamond"/>
          <w:sz w:val="22"/>
          <w:szCs w:val="22"/>
        </w:rPr>
        <w:t>. 2º e 84, inciso II, da Carta Magna. 4. Ação direta de inconstitucionalidade de que se conhece parcialmente e que se julga, na parte de que se conhece, procedente.</w:t>
      </w:r>
    </w:p>
    <w:p w:rsidR="009C3D47" w:rsidRDefault="00D261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ind w:left="2551"/>
        <w:jc w:val="both"/>
        <w:rPr>
          <w:rFonts w:ascii="Garamond" w:eastAsia="Garamond" w:hAnsi="Garamond" w:cs="Garamond"/>
          <w:sz w:val="22"/>
          <w:szCs w:val="22"/>
        </w:rPr>
      </w:pPr>
      <w:hyperlink r:id="rId12">
        <w:r w:rsidR="00842209">
          <w:rPr>
            <w:rFonts w:ascii="Garamond" w:eastAsia="Garamond" w:hAnsi="Garamond" w:cs="Garamond"/>
            <w:color w:val="1155CC"/>
            <w:sz w:val="22"/>
            <w:szCs w:val="22"/>
            <w:u w:val="single"/>
          </w:rPr>
          <w:t>https://jurisprudencia.stf.jus.br/pages/search?classeNumeroIncidente=%22ADI%20179%22&amp;base=acordaos&amp;sinonimo=true&amp;plural=true&amp;page=1</w:t>
        </w:r>
        <w:r w:rsidR="00842209">
          <w:rPr>
            <w:rFonts w:ascii="Garamond" w:eastAsia="Garamond" w:hAnsi="Garamond" w:cs="Garamond"/>
            <w:color w:val="1155CC"/>
            <w:sz w:val="22"/>
            <w:szCs w:val="22"/>
            <w:u w:val="single"/>
          </w:rPr>
          <w:lastRenderedPageBreak/>
          <w:t>&amp;pageSize=10&amp;sort=_score&amp;sortBy=desc&amp;isAdvanced=true</w:t>
        </w:r>
      </w:hyperlink>
      <w:r w:rsidR="00842209">
        <w:rPr>
          <w:rFonts w:ascii="Garamond" w:eastAsia="Garamond" w:hAnsi="Garamond" w:cs="Garamond"/>
          <w:sz w:val="22"/>
          <w:szCs w:val="22"/>
        </w:rPr>
        <w:t xml:space="preserve"> ADI </w:t>
      </w:r>
      <w:hyperlink r:id="rId13">
        <w:r w:rsidR="00842209">
          <w:rPr>
            <w:rFonts w:ascii="Garamond" w:eastAsia="Garamond" w:hAnsi="Garamond" w:cs="Garamond"/>
            <w:b/>
            <w:color w:val="00A6E6"/>
            <w:sz w:val="22"/>
            <w:szCs w:val="22"/>
            <w:u w:val="single"/>
          </w:rPr>
          <w:t>DI 17</w:t>
        </w:r>
      </w:hyperlink>
      <w:proofErr w:type="gramStart"/>
      <w:r w:rsidR="00842209">
        <w:rPr>
          <w:rFonts w:ascii="Garamond" w:eastAsia="Garamond" w:hAnsi="Garamond" w:cs="Garamond"/>
          <w:sz w:val="22"/>
          <w:szCs w:val="22"/>
        </w:rPr>
        <w:t>9</w:t>
      </w:r>
      <w:proofErr w:type="gramEnd"/>
      <w:r w:rsidR="00842209">
        <w:rPr>
          <w:rFonts w:ascii="Garamond" w:eastAsia="Garamond" w:hAnsi="Garamond" w:cs="Garamond"/>
          <w:sz w:val="22"/>
          <w:szCs w:val="22"/>
        </w:rPr>
        <w:t xml:space="preserve"> Órgão julgador: Tribunal Pleno Julgamento: 19/02/2014. Publicação: 28/03/2014</w:t>
      </w:r>
    </w:p>
    <w:p w:rsidR="009C3D47" w:rsidRDefault="009C3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</w:rPr>
      </w:pP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</w:rPr>
        <w:t>16.</w:t>
      </w:r>
      <w:r>
        <w:rPr>
          <w:rFonts w:ascii="Garamond" w:eastAsia="Garamond" w:hAnsi="Garamond" w:cs="Garamond"/>
          <w:color w:val="000000"/>
        </w:rPr>
        <w:tab/>
        <w:t xml:space="preserve">Ainda dentro do contexto da reserva da iniciativa, deveras importante registrarmos que um processo legislativo, que é responsável pela formação das espécies normativas abstratas, engloba um trâmite a ser observado, </w:t>
      </w:r>
      <w:proofErr w:type="gramStart"/>
      <w:r>
        <w:rPr>
          <w:rFonts w:ascii="Garamond" w:eastAsia="Garamond" w:hAnsi="Garamond" w:cs="Garamond"/>
          <w:color w:val="000000"/>
        </w:rPr>
        <w:t>sob pena</w:t>
      </w:r>
      <w:proofErr w:type="gramEnd"/>
      <w:r>
        <w:rPr>
          <w:rFonts w:ascii="Garamond" w:eastAsia="Garamond" w:hAnsi="Garamond" w:cs="Garamond"/>
          <w:color w:val="000000"/>
        </w:rPr>
        <w:t xml:space="preserve"> de o projeto vir a ser inconstitucional. Segundo prestigiada doutrina, podemos resumir que um processo legislativo compreende três fases distintas: introdutória, na qual ocorre a </w:t>
      </w:r>
      <w:r>
        <w:rPr>
          <w:rFonts w:ascii="Garamond" w:eastAsia="Garamond" w:hAnsi="Garamond" w:cs="Garamond"/>
          <w:i/>
          <w:color w:val="000000"/>
        </w:rPr>
        <w:t>iniciativa</w:t>
      </w:r>
      <w:r>
        <w:rPr>
          <w:rFonts w:ascii="Garamond" w:eastAsia="Garamond" w:hAnsi="Garamond" w:cs="Garamond"/>
          <w:color w:val="000000"/>
        </w:rPr>
        <w:t xml:space="preserve"> do projeto; constitutiva, envolvendo a discussão, votação, aprovação e sanção e por último a fase complementar, formada pela promulgação e publicação da norma. (NOVELINO. Marcelo. Manual de Direito Constitucional. Ed. Método. São Paulo. 9ª ed. 2014. p: 814).</w:t>
      </w:r>
    </w:p>
    <w:p w:rsidR="000F644E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color w:val="000000"/>
        </w:rPr>
        <w:t>17.</w:t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proofErr w:type="gramStart"/>
      <w:r>
        <w:rPr>
          <w:rFonts w:ascii="Garamond" w:eastAsia="Garamond" w:hAnsi="Garamond" w:cs="Garamond"/>
          <w:color w:val="000000"/>
        </w:rPr>
        <w:t>Outrossim</w:t>
      </w:r>
      <w:proofErr w:type="gramEnd"/>
      <w:r>
        <w:rPr>
          <w:rFonts w:ascii="Garamond" w:eastAsia="Garamond" w:hAnsi="Garamond" w:cs="Garamond"/>
          <w:color w:val="000000"/>
        </w:rPr>
        <w:t xml:space="preserve">, nos convém registrar que à Câmara compete a edição de preceitos que norteiam a organização e o funcionamento da estrutura de governo municipal, ou seja, compete à Câmara a edição de normas </w:t>
      </w:r>
      <w:r>
        <w:rPr>
          <w:rFonts w:ascii="Garamond" w:eastAsia="Garamond" w:hAnsi="Garamond" w:cs="Garamond"/>
          <w:i/>
          <w:color w:val="000000"/>
        </w:rPr>
        <w:t>abstratas,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i/>
          <w:color w:val="000000"/>
        </w:rPr>
        <w:t>gerais e obrigatórias.</w:t>
      </w:r>
      <w:r>
        <w:rPr>
          <w:rFonts w:ascii="Garamond" w:eastAsia="Garamond" w:hAnsi="Garamond" w:cs="Garamond"/>
          <w:color w:val="000000"/>
        </w:rPr>
        <w:t xml:space="preserve"> Esta é a função específica do Poder Legislativo Municipal, bem diferente da função entregue ao Executivo consistente na prática de atos </w:t>
      </w:r>
      <w:r>
        <w:rPr>
          <w:rFonts w:ascii="Garamond" w:eastAsia="Garamond" w:hAnsi="Garamond" w:cs="Garamond"/>
          <w:i/>
          <w:color w:val="000000"/>
        </w:rPr>
        <w:t>concretos</w:t>
      </w:r>
      <w:r>
        <w:rPr>
          <w:rFonts w:ascii="Garamond" w:eastAsia="Garamond" w:hAnsi="Garamond" w:cs="Garamond"/>
          <w:color w:val="000000"/>
        </w:rPr>
        <w:t xml:space="preserve"> de administração. Daí não se permitir que a Câmara, a exemplo das fontes jurídicas anteriormente citadas, passe a intervir direta e concretamente nas atividades reservadas ao Executivo, mormente quando a matéria se insere entre o rol de competência entregue privativamente e exclusivamente àquele que detém o poder de gerenciamento, no caso específico o Chefe do Executivo Municipal, sob pena de interferência e ingerência de um poder sobre o outro e flagrante desrespeito aos preceitos do art. 2º da Constituição Federal, que descreve a independência funcional entre os três Poderes.</w:t>
      </w:r>
      <w:proofErr w:type="gramStart"/>
      <w:r>
        <w:rPr>
          <w:rFonts w:ascii="Garamond" w:eastAsia="Garamond" w:hAnsi="Garamond" w:cs="Garamond"/>
          <w:b/>
          <w:color w:val="000000"/>
        </w:rPr>
        <w:tab/>
      </w:r>
      <w:proofErr w:type="gramEnd"/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>III. Conclusão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</w:rPr>
        <w:t>18</w:t>
      </w:r>
      <w:r>
        <w:rPr>
          <w:rFonts w:ascii="Garamond" w:eastAsia="Garamond" w:hAnsi="Garamond" w:cs="Garamond"/>
          <w:color w:val="000000"/>
        </w:rPr>
        <w:t>.</w:t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  <w:t xml:space="preserve">Sendo essas observações que me competiam, entendemos pela inconstitucionalidade da proposta, primeiramente porque o conteúdo da iniciativa interfere no âmbito da atuação e gerenciamento reservados privativamente ao Poder Executivo, negando, portanto, observância ao </w:t>
      </w:r>
      <w:r>
        <w:rPr>
          <w:rFonts w:ascii="Garamond" w:eastAsia="Garamond" w:hAnsi="Garamond" w:cs="Garamond"/>
        </w:rPr>
        <w:t>disposto</w:t>
      </w:r>
      <w:r>
        <w:rPr>
          <w:rFonts w:ascii="Garamond" w:eastAsia="Garamond" w:hAnsi="Garamond" w:cs="Garamond"/>
          <w:color w:val="000000"/>
        </w:rPr>
        <w:t xml:space="preserve"> no art. 61 da </w:t>
      </w:r>
      <w:r>
        <w:rPr>
          <w:rFonts w:ascii="Garamond" w:eastAsia="Garamond" w:hAnsi="Garamond" w:cs="Garamond"/>
        </w:rPr>
        <w:t>Constituição</w:t>
      </w:r>
      <w:r>
        <w:rPr>
          <w:rFonts w:ascii="Garamond" w:eastAsia="Garamond" w:hAnsi="Garamond" w:cs="Garamond"/>
          <w:color w:val="000000"/>
        </w:rPr>
        <w:t xml:space="preserve"> da República</w:t>
      </w:r>
      <w:r>
        <w:rPr>
          <w:rFonts w:ascii="Garamond" w:eastAsia="Garamond" w:hAnsi="Garamond" w:cs="Garamond"/>
        </w:rPr>
        <w:t xml:space="preserve">, combinado com os </w:t>
      </w:r>
      <w:r>
        <w:rPr>
          <w:rFonts w:ascii="Garamond" w:eastAsia="Garamond" w:hAnsi="Garamond" w:cs="Garamond"/>
          <w:color w:val="000000"/>
        </w:rPr>
        <w:t xml:space="preserve">incisos </w:t>
      </w:r>
      <w:r>
        <w:rPr>
          <w:rFonts w:ascii="Garamond" w:eastAsia="Garamond" w:hAnsi="Garamond" w:cs="Garamond"/>
        </w:rPr>
        <w:t xml:space="preserve">II e </w:t>
      </w:r>
      <w:r>
        <w:rPr>
          <w:rFonts w:ascii="Garamond" w:eastAsia="Garamond" w:hAnsi="Garamond" w:cs="Garamond"/>
          <w:color w:val="000000"/>
        </w:rPr>
        <w:t xml:space="preserve">IV do art. 45 da Lei Orgânica Municipal, que outorga ao Executivo a competência </w:t>
      </w:r>
      <w:r>
        <w:rPr>
          <w:rFonts w:ascii="Garamond" w:eastAsia="Garamond" w:hAnsi="Garamond" w:cs="Garamond"/>
          <w:color w:val="000000"/>
        </w:rPr>
        <w:lastRenderedPageBreak/>
        <w:t xml:space="preserve">privativa para deflagrar matérias que versem sobre as atribuições e </w:t>
      </w:r>
      <w:r>
        <w:rPr>
          <w:rFonts w:ascii="Garamond" w:eastAsia="Garamond" w:hAnsi="Garamond" w:cs="Garamond"/>
        </w:rPr>
        <w:t>remuneração</w:t>
      </w:r>
      <w:r>
        <w:rPr>
          <w:rFonts w:ascii="Garamond" w:eastAsia="Garamond" w:hAnsi="Garamond" w:cs="Garamond"/>
          <w:color w:val="000000"/>
        </w:rPr>
        <w:t xml:space="preserve"> dos integrantes da Administração Municipal, segundo porque </w:t>
      </w:r>
      <w:r>
        <w:rPr>
          <w:rFonts w:ascii="Garamond" w:eastAsia="Garamond" w:hAnsi="Garamond" w:cs="Garamond"/>
        </w:rPr>
        <w:t xml:space="preserve">a proposta envolve a assunção de encargos atinente à folha de pessoal, o que implicaria a necessidade de atendimento das diretrizes da Lei de Responsabilidade Fiscal, o que não restou atendido. </w:t>
      </w:r>
    </w:p>
    <w:p w:rsidR="009C3D47" w:rsidRDefault="0084220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center" w:pos="1980"/>
        </w:tabs>
        <w:spacing w:before="280" w:after="280" w:line="36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</w:rPr>
        <w:t>19</w:t>
      </w:r>
      <w:r>
        <w:rPr>
          <w:rFonts w:ascii="Garamond" w:eastAsia="Garamond" w:hAnsi="Garamond" w:cs="Garamond"/>
          <w:color w:val="000000"/>
        </w:rPr>
        <w:t>.</w:t>
      </w:r>
      <w:r>
        <w:rPr>
          <w:rFonts w:ascii="Garamond" w:eastAsia="Garamond" w:hAnsi="Garamond" w:cs="Garamond"/>
          <w:color w:val="000000"/>
        </w:rPr>
        <w:tab/>
        <w:t>Estas são as considerações pertinentes à consulta, que submetemos aos pares desta Casa Legislativa</w:t>
      </w:r>
      <w:r w:rsidR="003D02B7">
        <w:rPr>
          <w:rFonts w:ascii="Garamond" w:eastAsia="Garamond" w:hAnsi="Garamond" w:cs="Garamond"/>
          <w:color w:val="000000"/>
        </w:rPr>
        <w:t>.</w:t>
      </w:r>
    </w:p>
    <w:p w:rsidR="009C3D47" w:rsidRDefault="009C3D47">
      <w:pPr>
        <w:tabs>
          <w:tab w:val="left" w:pos="1418"/>
        </w:tabs>
        <w:spacing w:line="360" w:lineRule="auto"/>
        <w:jc w:val="both"/>
        <w:rPr>
          <w:rFonts w:ascii="Garamond" w:eastAsia="Garamond" w:hAnsi="Garamond" w:cs="Garamond"/>
        </w:rPr>
      </w:pPr>
    </w:p>
    <w:p w:rsidR="009C3D47" w:rsidRDefault="009C3D4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8"/>
          <w:tab w:val="center" w:pos="1980"/>
          <w:tab w:val="left" w:pos="2160"/>
          <w:tab w:val="center" w:pos="2520"/>
        </w:tabs>
        <w:spacing w:after="200" w:line="360" w:lineRule="auto"/>
        <w:jc w:val="both"/>
        <w:rPr>
          <w:rFonts w:ascii="Garamond" w:eastAsia="Garamond" w:hAnsi="Garamond" w:cs="Garamond"/>
          <w:color w:val="000000"/>
        </w:rPr>
      </w:pPr>
    </w:p>
    <w:sectPr w:rsidR="009C3D47">
      <w:headerReference w:type="default" r:id="rId14"/>
      <w:footerReference w:type="default" r:id="rId15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77" w:rsidRDefault="00D26177">
      <w:r>
        <w:separator/>
      </w:r>
    </w:p>
  </w:endnote>
  <w:endnote w:type="continuationSeparator" w:id="0">
    <w:p w:rsidR="00D26177" w:rsidRDefault="00D2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47" w:rsidRDefault="009C3D47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</w:p>
  <w:p w:rsidR="009C3D47" w:rsidRDefault="008422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Travessa Oscar </w:t>
    </w:r>
    <w:proofErr w:type="spellStart"/>
    <w:r>
      <w:rPr>
        <w:rFonts w:ascii="Century Gothic" w:eastAsia="Century Gothic" w:hAnsi="Century Gothic" w:cs="Century Gothic"/>
        <w:color w:val="000000"/>
        <w:sz w:val="18"/>
        <w:szCs w:val="18"/>
      </w:rPr>
      <w:t>Muxfeldt</w:t>
    </w:r>
    <w:proofErr w:type="spellEnd"/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, nº 81, Centro, Foz do Iguaçu, </w:t>
    </w:r>
    <w:proofErr w:type="spellStart"/>
    <w:proofErr w:type="gramStart"/>
    <w:r>
      <w:rPr>
        <w:rFonts w:ascii="Century Gothic" w:eastAsia="Century Gothic" w:hAnsi="Century Gothic" w:cs="Century Gothic"/>
        <w:color w:val="000000"/>
        <w:sz w:val="18"/>
        <w:szCs w:val="18"/>
      </w:rPr>
      <w:t>Pr</w:t>
    </w:r>
    <w:proofErr w:type="spellEnd"/>
    <w:proofErr w:type="gramEnd"/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 – 85.851 – 490 – Fone: (45) 3521-8100. </w:t>
    </w:r>
  </w:p>
  <w:p w:rsidR="009C3D47" w:rsidRDefault="008422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B67C9E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B67C9E">
      <w:rPr>
        <w:rFonts w:ascii="Arial" w:eastAsia="Arial" w:hAnsi="Arial" w:cs="Arial"/>
        <w:b/>
        <w:noProof/>
        <w:color w:val="000000"/>
        <w:sz w:val="16"/>
        <w:szCs w:val="16"/>
      </w:rPr>
      <w:t>9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77" w:rsidRDefault="00D26177">
      <w:r>
        <w:separator/>
      </w:r>
    </w:p>
  </w:footnote>
  <w:footnote w:type="continuationSeparator" w:id="0">
    <w:p w:rsidR="00D26177" w:rsidRDefault="00D2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47" w:rsidRDefault="008422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360" w:right="360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2120900</wp:posOffset>
              </wp:positionH>
              <wp:positionV relativeFrom="paragraph">
                <wp:posOffset>673100</wp:posOffset>
              </wp:positionV>
              <wp:extent cx="1553210" cy="23812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74158" y="3665700"/>
                        <a:ext cx="154368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C3D47" w:rsidRDefault="009C3D4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2120900</wp:posOffset>
              </wp:positionH>
              <wp:positionV relativeFrom="paragraph">
                <wp:posOffset>673100</wp:posOffset>
              </wp:positionV>
              <wp:extent cx="1553210" cy="2381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3210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C3D47" w:rsidRDefault="008422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>
          <wp:extent cx="981075" cy="1247775"/>
          <wp:effectExtent l="0" t="0" r="0" b="0"/>
          <wp:docPr id="6" name="image1.jpg" descr="brasao%20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%20OFICIA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1016000</wp:posOffset>
              </wp:positionH>
              <wp:positionV relativeFrom="paragraph">
                <wp:posOffset>-25399</wp:posOffset>
              </wp:positionV>
              <wp:extent cx="4924425" cy="92392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32280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3D47" w:rsidRDefault="0084220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50"/>
                            </w:rPr>
                            <w:t>Câmara Municipal de Foz do Iguaçu</w:t>
                          </w:r>
                        </w:p>
                        <w:p w:rsidR="009C3D47" w:rsidRDefault="009C3D47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1016000</wp:posOffset>
              </wp:positionH>
              <wp:positionV relativeFrom="paragraph">
                <wp:posOffset>-25399</wp:posOffset>
              </wp:positionV>
              <wp:extent cx="4924425" cy="9239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24425" cy="923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6AC"/>
    <w:multiLevelType w:val="multilevel"/>
    <w:tmpl w:val="7E0C0654"/>
    <w:lvl w:ilvl="0">
      <w:start w:val="1"/>
      <w:numFmt w:val="decimal"/>
      <w:pStyle w:val="TEXTOPALM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3D47"/>
    <w:rsid w:val="000F644E"/>
    <w:rsid w:val="003D02B7"/>
    <w:rsid w:val="00842209"/>
    <w:rsid w:val="00984E67"/>
    <w:rsid w:val="009C3D47"/>
    <w:rsid w:val="00B67C9E"/>
    <w:rsid w:val="00D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A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locked/>
    <w:rsid w:val="0061282E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2F3FC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2F3FC0"/>
    <w:rPr>
      <w:rFonts w:cs="Times New Roman"/>
    </w:rPr>
  </w:style>
  <w:style w:type="paragraph" w:styleId="Rodap">
    <w:name w:val="footer"/>
    <w:basedOn w:val="Normal"/>
    <w:link w:val="RodapChar"/>
    <w:uiPriority w:val="99"/>
    <w:rsid w:val="002F3F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F3FC0"/>
    <w:rPr>
      <w:rFonts w:cs="Times New Roman"/>
      <w:sz w:val="24"/>
    </w:rPr>
  </w:style>
  <w:style w:type="paragraph" w:styleId="PargrafodaLista">
    <w:name w:val="List Paragraph"/>
    <w:basedOn w:val="Normal"/>
    <w:uiPriority w:val="34"/>
    <w:qFormat/>
    <w:rsid w:val="002F3F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F8323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F83238"/>
    <w:rPr>
      <w:rFonts w:cs="Times New Roman"/>
      <w:i/>
    </w:rPr>
  </w:style>
  <w:style w:type="character" w:customStyle="1" w:styleId="apple-converted-space">
    <w:name w:val="apple-converted-space"/>
    <w:rsid w:val="00F83238"/>
  </w:style>
  <w:style w:type="character" w:styleId="Hyperlink">
    <w:name w:val="Hyperlink"/>
    <w:basedOn w:val="Fontepargpadro"/>
    <w:uiPriority w:val="99"/>
    <w:rsid w:val="00F83238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rsid w:val="00404036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rsid w:val="00F566D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F566D9"/>
    <w:rPr>
      <w:rFonts w:ascii="Tahoma" w:hAnsi="Tahoma" w:cs="Times New Roman"/>
      <w:sz w:val="16"/>
    </w:rPr>
  </w:style>
  <w:style w:type="character" w:styleId="HiperlinkVisitado">
    <w:name w:val="FollowedHyperlink"/>
    <w:basedOn w:val="Fontepargpadro"/>
    <w:uiPriority w:val="99"/>
    <w:rsid w:val="00CD18EB"/>
    <w:rPr>
      <w:rFonts w:cs="Times New Roman"/>
      <w:color w:val="800080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770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77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7703"/>
    <w:rPr>
      <w:vertAlign w:val="superscript"/>
    </w:rPr>
  </w:style>
  <w:style w:type="paragraph" w:customStyle="1" w:styleId="04partenormativa">
    <w:name w:val="04partenormativa"/>
    <w:basedOn w:val="Normal"/>
    <w:uiPriority w:val="99"/>
    <w:rsid w:val="00C92046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6360A6"/>
    <w:pPr>
      <w:jc w:val="both"/>
    </w:pPr>
    <w:rPr>
      <w:color w:val="0000F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360A6"/>
    <w:rPr>
      <w:color w:val="0000FF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738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738BF"/>
    <w:rPr>
      <w:sz w:val="16"/>
      <w:szCs w:val="16"/>
    </w:rPr>
  </w:style>
  <w:style w:type="paragraph" w:customStyle="1" w:styleId="texto1">
    <w:name w:val="texto1"/>
    <w:basedOn w:val="Normal"/>
    <w:rsid w:val="007738BF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81270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61282E"/>
    <w:rPr>
      <w:b/>
      <w:bCs/>
      <w:sz w:val="24"/>
      <w:szCs w:val="24"/>
    </w:rPr>
  </w:style>
  <w:style w:type="character" w:customStyle="1" w:styleId="jud-text">
    <w:name w:val="jud-text"/>
    <w:basedOn w:val="Fontepargpadro"/>
    <w:rsid w:val="0061282E"/>
  </w:style>
  <w:style w:type="character" w:customStyle="1" w:styleId="ng-star-inserted">
    <w:name w:val="ng-star-inserted"/>
    <w:basedOn w:val="Fontepargpadro"/>
    <w:rsid w:val="0061282E"/>
  </w:style>
  <w:style w:type="character" w:customStyle="1" w:styleId="NormalWebChar">
    <w:name w:val="Normal (Web) Char"/>
    <w:link w:val="NormalWeb"/>
    <w:uiPriority w:val="99"/>
    <w:locked/>
    <w:rsid w:val="00B32B28"/>
    <w:rPr>
      <w:sz w:val="24"/>
      <w:szCs w:val="24"/>
    </w:rPr>
  </w:style>
  <w:style w:type="paragraph" w:customStyle="1" w:styleId="TEXTOPALMAS">
    <w:name w:val="TEXTO PALMAS"/>
    <w:basedOn w:val="Normal"/>
    <w:autoRedefine/>
    <w:uiPriority w:val="99"/>
    <w:rsid w:val="006A07C4"/>
    <w:pPr>
      <w:numPr>
        <w:numId w:val="1"/>
      </w:numPr>
      <w:tabs>
        <w:tab w:val="left" w:pos="1418"/>
        <w:tab w:val="left" w:pos="2268"/>
      </w:tabs>
      <w:suppressAutoHyphens/>
      <w:spacing w:line="360" w:lineRule="auto"/>
      <w:ind w:left="0" w:hanging="11"/>
      <w:jc w:val="both"/>
    </w:pPr>
    <w:rPr>
      <w:rFonts w:ascii="Segoe UI Light" w:eastAsia="MS Mincho" w:hAnsi="Segoe UI Light" w:cs="Segoe UI Light"/>
      <w:bCs/>
      <w:sz w:val="22"/>
      <w:szCs w:val="22"/>
      <w:lang w:eastAsia="ar-SA"/>
    </w:rPr>
  </w:style>
  <w:style w:type="character" w:customStyle="1" w:styleId="label">
    <w:name w:val="label"/>
    <w:basedOn w:val="Fontepargpadro"/>
    <w:rsid w:val="006A07C4"/>
  </w:style>
  <w:style w:type="character" w:customStyle="1" w:styleId="badge">
    <w:name w:val="badge"/>
    <w:basedOn w:val="Fontepargpadro"/>
    <w:rsid w:val="00025219"/>
  </w:style>
  <w:style w:type="character" w:customStyle="1" w:styleId="UnresolvedMention">
    <w:name w:val="Unresolved Mention"/>
    <w:basedOn w:val="Fontepargpadro"/>
    <w:uiPriority w:val="99"/>
    <w:semiHidden/>
    <w:unhideWhenUsed/>
    <w:rsid w:val="0044454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A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locked/>
    <w:rsid w:val="0061282E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2F3FC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2F3FC0"/>
    <w:rPr>
      <w:rFonts w:cs="Times New Roman"/>
    </w:rPr>
  </w:style>
  <w:style w:type="paragraph" w:styleId="Rodap">
    <w:name w:val="footer"/>
    <w:basedOn w:val="Normal"/>
    <w:link w:val="RodapChar"/>
    <w:uiPriority w:val="99"/>
    <w:rsid w:val="002F3F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F3FC0"/>
    <w:rPr>
      <w:rFonts w:cs="Times New Roman"/>
      <w:sz w:val="24"/>
    </w:rPr>
  </w:style>
  <w:style w:type="paragraph" w:styleId="PargrafodaLista">
    <w:name w:val="List Paragraph"/>
    <w:basedOn w:val="Normal"/>
    <w:uiPriority w:val="34"/>
    <w:qFormat/>
    <w:rsid w:val="002F3F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F8323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F83238"/>
    <w:rPr>
      <w:rFonts w:cs="Times New Roman"/>
      <w:i/>
    </w:rPr>
  </w:style>
  <w:style w:type="character" w:customStyle="1" w:styleId="apple-converted-space">
    <w:name w:val="apple-converted-space"/>
    <w:rsid w:val="00F83238"/>
  </w:style>
  <w:style w:type="character" w:styleId="Hyperlink">
    <w:name w:val="Hyperlink"/>
    <w:basedOn w:val="Fontepargpadro"/>
    <w:uiPriority w:val="99"/>
    <w:rsid w:val="00F83238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rsid w:val="00404036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rsid w:val="00F566D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F566D9"/>
    <w:rPr>
      <w:rFonts w:ascii="Tahoma" w:hAnsi="Tahoma" w:cs="Times New Roman"/>
      <w:sz w:val="16"/>
    </w:rPr>
  </w:style>
  <w:style w:type="character" w:styleId="HiperlinkVisitado">
    <w:name w:val="FollowedHyperlink"/>
    <w:basedOn w:val="Fontepargpadro"/>
    <w:uiPriority w:val="99"/>
    <w:rsid w:val="00CD18EB"/>
    <w:rPr>
      <w:rFonts w:cs="Times New Roman"/>
      <w:color w:val="800080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770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77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7703"/>
    <w:rPr>
      <w:vertAlign w:val="superscript"/>
    </w:rPr>
  </w:style>
  <w:style w:type="paragraph" w:customStyle="1" w:styleId="04partenormativa">
    <w:name w:val="04partenormativa"/>
    <w:basedOn w:val="Normal"/>
    <w:uiPriority w:val="99"/>
    <w:rsid w:val="00C92046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6360A6"/>
    <w:pPr>
      <w:jc w:val="both"/>
    </w:pPr>
    <w:rPr>
      <w:color w:val="0000F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360A6"/>
    <w:rPr>
      <w:color w:val="0000FF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738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738BF"/>
    <w:rPr>
      <w:sz w:val="16"/>
      <w:szCs w:val="16"/>
    </w:rPr>
  </w:style>
  <w:style w:type="paragraph" w:customStyle="1" w:styleId="texto1">
    <w:name w:val="texto1"/>
    <w:basedOn w:val="Normal"/>
    <w:rsid w:val="007738BF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81270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61282E"/>
    <w:rPr>
      <w:b/>
      <w:bCs/>
      <w:sz w:val="24"/>
      <w:szCs w:val="24"/>
    </w:rPr>
  </w:style>
  <w:style w:type="character" w:customStyle="1" w:styleId="jud-text">
    <w:name w:val="jud-text"/>
    <w:basedOn w:val="Fontepargpadro"/>
    <w:rsid w:val="0061282E"/>
  </w:style>
  <w:style w:type="character" w:customStyle="1" w:styleId="ng-star-inserted">
    <w:name w:val="ng-star-inserted"/>
    <w:basedOn w:val="Fontepargpadro"/>
    <w:rsid w:val="0061282E"/>
  </w:style>
  <w:style w:type="character" w:customStyle="1" w:styleId="NormalWebChar">
    <w:name w:val="Normal (Web) Char"/>
    <w:link w:val="NormalWeb"/>
    <w:uiPriority w:val="99"/>
    <w:locked/>
    <w:rsid w:val="00B32B28"/>
    <w:rPr>
      <w:sz w:val="24"/>
      <w:szCs w:val="24"/>
    </w:rPr>
  </w:style>
  <w:style w:type="paragraph" w:customStyle="1" w:styleId="TEXTOPALMAS">
    <w:name w:val="TEXTO PALMAS"/>
    <w:basedOn w:val="Normal"/>
    <w:autoRedefine/>
    <w:uiPriority w:val="99"/>
    <w:rsid w:val="006A07C4"/>
    <w:pPr>
      <w:numPr>
        <w:numId w:val="1"/>
      </w:numPr>
      <w:tabs>
        <w:tab w:val="left" w:pos="1418"/>
        <w:tab w:val="left" w:pos="2268"/>
      </w:tabs>
      <w:suppressAutoHyphens/>
      <w:spacing w:line="360" w:lineRule="auto"/>
      <w:ind w:left="0" w:hanging="11"/>
      <w:jc w:val="both"/>
    </w:pPr>
    <w:rPr>
      <w:rFonts w:ascii="Segoe UI Light" w:eastAsia="MS Mincho" w:hAnsi="Segoe UI Light" w:cs="Segoe UI Light"/>
      <w:bCs/>
      <w:sz w:val="22"/>
      <w:szCs w:val="22"/>
      <w:lang w:eastAsia="ar-SA"/>
    </w:rPr>
  </w:style>
  <w:style w:type="character" w:customStyle="1" w:styleId="label">
    <w:name w:val="label"/>
    <w:basedOn w:val="Fontepargpadro"/>
    <w:rsid w:val="006A07C4"/>
  </w:style>
  <w:style w:type="character" w:customStyle="1" w:styleId="badge">
    <w:name w:val="badge"/>
    <w:basedOn w:val="Fontepargpadro"/>
    <w:rsid w:val="00025219"/>
  </w:style>
  <w:style w:type="character" w:customStyle="1" w:styleId="UnresolvedMention">
    <w:name w:val="Unresolved Mention"/>
    <w:basedOn w:val="Fontepargpadro"/>
    <w:uiPriority w:val="99"/>
    <w:semiHidden/>
    <w:unhideWhenUsed/>
    <w:rsid w:val="0044454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urisprudencia.stf.jus.br/pages/search/sjur259184/fals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urisprudencia.stf.jus.br/pages/search?classeNumeroIncidente=%22ADI%20179%22&amp;base=acordaos&amp;sinonimo=true&amp;plural=true&amp;page=1&amp;pageSize=10&amp;sort=_score&amp;sortBy=desc&amp;isAdvanced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urisprudencia.stf.jus.br/pages/search?classeNumeroIncidente=%22ADI%203254%22&amp;base=acordaos&amp;sinonimo=true&amp;plural=true&amp;page=1&amp;pageSize=10&amp;sort=_score&amp;sortBy=desc&amp;isAdvanced=tru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jurisprudencia.stf.jus.br/pages/search?classeNumeroIncidente=%22ADI%202372%22&amp;base=acordaos&amp;sinonimo=true&amp;plural=true&amp;page=1&amp;pageSize=10&amp;sort=_score&amp;sortBy=desc&amp;isAdvanced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dir.stf.jus.br/paginadorpub/paginador.jsp?docTP=TP&amp;docID=1471361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idwKVQE8BT9cHw+ct93GcfIQgQ==">CgMxLjAyDmguZHhmdnR6bTZpMWFxMg9pZC5tN3Zpenhydmk1cHQ4AHIhMUpCR1hoOVJRdXBiQk5CY1BWSUFFTTU1UGlSNVNKMlJI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2531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Rosimeire C. C. Werneck</cp:lastModifiedBy>
  <cp:revision>7</cp:revision>
  <cp:lastPrinted>2025-05-28T15:29:00Z</cp:lastPrinted>
  <dcterms:created xsi:type="dcterms:W3CDTF">2021-08-16T15:41:00Z</dcterms:created>
  <dcterms:modified xsi:type="dcterms:W3CDTF">2025-05-28T15:29:00Z</dcterms:modified>
</cp:coreProperties>
</file>